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s-ES_tradnl"/>
        </w:rPr>
        <w:t>Hotel Arctic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Ilulissat er vores hjem. Det er her vi driver verdens nordligste firestjernede hotel med et femstjernet konferencecenter. Vi har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syv nordlyshytter, alle med glasfacader ud mod Isefjorden og dens imponerende isbjerge. Her, direkte fra deres komfortable dobbeltsenge, kan vores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 opleve naturen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tteste hold. De store vinduespartier ud mod Isefjorden byder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et unikt panorama til den evige dans mellem is og vand, og det er en enest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e-DE"/>
        </w:rPr>
        <w:t>ende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de at se nordlys p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. Alt dette er et led i vores ambition om at give vores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 en luksuri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s arktisk oplevelse.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Mad er et sprog vi alle taler, og takket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 vores arktiske 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kken kan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sterne m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de vores kultur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nl-NL"/>
        </w:rPr>
        <w:t>en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e-DE"/>
        </w:rPr>
        <w:t>de der 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kker ud over ord. Vores retter er b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visuelt imponerende og velsmagende. Fra friskfanget skaldyr til lokalt indsamlede urter og vildt er hver eneste ingrediens omhyggeligt udvalgt som en smagspr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en-US"/>
        </w:rPr>
        <w:t>ve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vores land.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Vi bruger naturligvis kun lokale,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sonbestemte og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redygtige r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varer. Men vores tilgang til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redygtighed 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kker ud over 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kkenet. Vores hotel har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ret CO2-neutralt i mere end et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rti, og en stor del af vores elforbrug kommer fra solpaneler. 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 vi vil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re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redygtige handler det ikke kun om at bevare den smukke natur der tiltr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kker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ster fra hele verden. 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vi er n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dt til at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re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redygtige, er det fordi det her er vores hjem.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Vi er en aktiv del af vores lokalsamfund. Vi skaber arbejdspladser, udl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rer kommende kokke, tjenere, receptionister og kontorassistenter, og vi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tter lokale leverand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rer. Vores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 er at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 en forskel der 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kker langt ud over vores hotels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gge.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" w:hAnsi="Arial"/>
          <w:rtl w:val="0"/>
          <w:lang w:val="da-DK"/>
        </w:rPr>
        <w:t>Vi er 100 procent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nlandske folk, og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at bidrage til vores lands udvikling. Sammen med vores partnere arbejder vi for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09C3D5-D284-45A0-9701-DA6E0E8E9115}"/>
</file>

<file path=customXml/itemProps2.xml><?xml version="1.0" encoding="utf-8"?>
<ds:datastoreItem xmlns:ds="http://schemas.openxmlformats.org/officeDocument/2006/customXml" ds:itemID="{F8AD2B25-0F3D-4540-B65A-92C084102697}"/>
</file>

<file path=customXml/itemProps3.xml><?xml version="1.0" encoding="utf-8"?>
<ds:datastoreItem xmlns:ds="http://schemas.openxmlformats.org/officeDocument/2006/customXml" ds:itemID="{573FE218-3D4A-4194-B896-CF7D37CD0D5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